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9FA" w:rsidRPr="004739FA" w:rsidRDefault="004739FA" w:rsidP="004739FA">
      <w:pPr>
        <w:pStyle w:val="Nzev"/>
        <w:rPr>
          <w:b/>
        </w:rPr>
      </w:pPr>
      <w:r w:rsidRPr="004739FA">
        <w:rPr>
          <w:b/>
        </w:rPr>
        <w:t>Shrnutí</w:t>
      </w:r>
    </w:p>
    <w:p w:rsidR="00976BCC" w:rsidRPr="004739FA" w:rsidRDefault="00976BCC" w:rsidP="00976BCC">
      <w:pPr>
        <w:pStyle w:val="Nadpis1"/>
        <w:rPr>
          <w:b/>
        </w:rPr>
      </w:pPr>
      <w:r>
        <w:rPr>
          <w:b/>
        </w:rPr>
        <w:t>1</w:t>
      </w:r>
      <w:r>
        <w:rPr>
          <w:b/>
        </w:rPr>
        <w:t xml:space="preserve"> </w:t>
      </w:r>
      <w:r w:rsidRPr="004739FA">
        <w:rPr>
          <w:b/>
        </w:rPr>
        <w:t>Problémy na straně výzkumných organizací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F73AAD">
        <w:rPr>
          <w:rFonts w:ascii="Arial" w:hAnsi="Arial" w:cs="Arial"/>
          <w:b/>
          <w:bCs/>
          <w:sz w:val="22"/>
          <w:szCs w:val="22"/>
        </w:rPr>
        <w:t>.1 Podcenění dokladu o samotném výsledku</w:t>
      </w:r>
      <w:r w:rsidRPr="00F73AAD">
        <w:rPr>
          <w:rFonts w:ascii="Arial" w:hAnsi="Arial" w:cs="Arial"/>
          <w:bCs/>
          <w:sz w:val="22"/>
          <w:szCs w:val="22"/>
        </w:rPr>
        <w:t xml:space="preserve">, kdy 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výzkumné organizace nevložily výsledek zcela nebo vložily propagační leták z veletrhu,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vložily nefunkční odkazy na výsledek,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předložily doklady o jiném druhu výsledku.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F73AAD">
        <w:rPr>
          <w:rFonts w:ascii="Arial" w:hAnsi="Arial" w:cs="Arial"/>
          <w:b/>
          <w:bCs/>
          <w:sz w:val="22"/>
          <w:szCs w:val="22"/>
        </w:rPr>
        <w:t>.2 Podcenění významu podpůrných informací</w:t>
      </w:r>
      <w:r w:rsidRPr="00F73AAD">
        <w:rPr>
          <w:rFonts w:ascii="Arial" w:hAnsi="Arial" w:cs="Arial"/>
          <w:bCs/>
          <w:sz w:val="22"/>
          <w:szCs w:val="22"/>
        </w:rPr>
        <w:t>, a to zejména při hodnocení podle kritéria „společenská relevance“;</w:t>
      </w:r>
    </w:p>
    <w:p w:rsidR="00976BCC" w:rsidRPr="00F73AAD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73AAD">
        <w:rPr>
          <w:rFonts w:ascii="Arial" w:hAnsi="Arial" w:cs="Arial"/>
          <w:bCs/>
          <w:sz w:val="22"/>
          <w:szCs w:val="22"/>
        </w:rPr>
        <w:t xml:space="preserve">chybí </w:t>
      </w:r>
      <w:r>
        <w:rPr>
          <w:rFonts w:ascii="Arial" w:hAnsi="Arial" w:cs="Arial"/>
          <w:bCs/>
          <w:sz w:val="22"/>
          <w:szCs w:val="22"/>
        </w:rPr>
        <w:t xml:space="preserve">např. </w:t>
      </w:r>
      <w:r w:rsidRPr="00F73AAD">
        <w:rPr>
          <w:rFonts w:ascii="Arial" w:hAnsi="Arial" w:cs="Arial"/>
          <w:bCs/>
          <w:sz w:val="22"/>
          <w:szCs w:val="22"/>
        </w:rPr>
        <w:t>srovnání výsledku s konkurencí, zdůraznění lepších parametrů, poukázání na využití při formulaci mezinárodních standardů</w:t>
      </w:r>
      <w:r>
        <w:rPr>
          <w:rFonts w:ascii="Arial" w:hAnsi="Arial" w:cs="Arial"/>
          <w:bCs/>
          <w:sz w:val="22"/>
          <w:szCs w:val="22"/>
        </w:rPr>
        <w:t>,</w:t>
      </w:r>
    </w:p>
    <w:p w:rsidR="00976BCC" w:rsidRPr="00F73AAD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73AAD">
        <w:rPr>
          <w:rFonts w:ascii="Arial" w:hAnsi="Arial" w:cs="Arial"/>
          <w:bCs/>
          <w:sz w:val="22"/>
          <w:szCs w:val="22"/>
        </w:rPr>
        <w:t>pozdní dokládání podpůrných informací, z čehož je zřejmé, že výzkumné organizace tyto informace měly již v době přihlášení výsledku k hodnocení (pouze je nepoužily)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F73AAD">
        <w:rPr>
          <w:rFonts w:ascii="Arial" w:hAnsi="Arial" w:cs="Arial"/>
          <w:b/>
          <w:bCs/>
          <w:sz w:val="22"/>
          <w:szCs w:val="22"/>
        </w:rPr>
        <w:t>.3 Chybně zvolené kritérium hodnocení</w:t>
      </w:r>
      <w:r w:rsidRPr="00F73AAD">
        <w:rPr>
          <w:rFonts w:ascii="Arial" w:hAnsi="Arial" w:cs="Arial"/>
          <w:bCs/>
          <w:sz w:val="22"/>
          <w:szCs w:val="22"/>
        </w:rPr>
        <w:t>, které určuje výzkumná organizace</w:t>
      </w:r>
      <w:r>
        <w:rPr>
          <w:rFonts w:ascii="Arial" w:hAnsi="Arial" w:cs="Arial"/>
          <w:bCs/>
          <w:sz w:val="22"/>
          <w:szCs w:val="22"/>
        </w:rPr>
        <w:t>,</w:t>
      </w:r>
      <w:r w:rsidRPr="00F73AAD">
        <w:rPr>
          <w:rFonts w:ascii="Arial" w:hAnsi="Arial" w:cs="Arial"/>
          <w:bCs/>
          <w:sz w:val="22"/>
          <w:szCs w:val="22"/>
        </w:rPr>
        <w:t xml:space="preserve"> a hodnotitelé její volbu musí respektovat; v některých případech jde o zjevný omyl či nepochopení výzkumné organizace, která se dožaduje hodnocení podle kritéria „přínos k poznání“, ačkoliv jí předložené argumenty jasně ukazují na společenskou relevanci,</w:t>
      </w:r>
    </w:p>
    <w:p w:rsidR="00976BCC" w:rsidRPr="004739FA" w:rsidRDefault="00976BCC" w:rsidP="00976BCC">
      <w:pPr>
        <w:pStyle w:val="Nadpis1"/>
        <w:rPr>
          <w:b/>
        </w:rPr>
      </w:pPr>
      <w:r>
        <w:rPr>
          <w:b/>
        </w:rPr>
        <w:t>2</w:t>
      </w:r>
      <w:r>
        <w:rPr>
          <w:b/>
        </w:rPr>
        <w:t xml:space="preserve"> </w:t>
      </w:r>
      <w:r w:rsidRPr="004739FA">
        <w:rPr>
          <w:b/>
        </w:rPr>
        <w:t>Problémy na straně odborných panelů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F73AAD">
        <w:rPr>
          <w:rFonts w:ascii="Arial" w:hAnsi="Arial" w:cs="Arial"/>
          <w:b/>
          <w:bCs/>
          <w:sz w:val="22"/>
          <w:szCs w:val="22"/>
        </w:rPr>
        <w:t>.1 Potíže s hodnocením podle kritéria „společenská relevance“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obtížnost odhadu tzv. potenciálu uplatnění / využití … výsledku,</w:t>
      </w:r>
    </w:p>
    <w:p w:rsidR="00976BCC" w:rsidRPr="00511C55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případně na otázku, zda hodnotit společenskou relevanci podle potenciálu (odhadu pravděpodobného uplatnění) či podle skutečností, které již nastaly a lze je prokázat např. obchodním úspěchem, …,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 tím související </w:t>
      </w:r>
      <w:r w:rsidRPr="00511C55">
        <w:rPr>
          <w:rFonts w:ascii="Arial" w:hAnsi="Arial" w:cs="Arial"/>
          <w:bCs/>
          <w:sz w:val="22"/>
          <w:szCs w:val="22"/>
        </w:rPr>
        <w:t xml:space="preserve">nejasnost, jak dokládat společenskou relevanci, resp. podle čeho mají hodnotitelé posuzovat společenskou relevanci, a </w:t>
      </w:r>
      <w:r>
        <w:rPr>
          <w:rFonts w:ascii="Arial" w:hAnsi="Arial" w:cs="Arial"/>
          <w:bCs/>
          <w:sz w:val="22"/>
          <w:szCs w:val="22"/>
        </w:rPr>
        <w:t>zda vše musí být přesvědčivě doloženo, resp. kde je hranice rozumného požadavku na poskytnutí informací pro hodnotitele.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F73AAD">
        <w:rPr>
          <w:rFonts w:ascii="Arial" w:hAnsi="Arial" w:cs="Arial"/>
          <w:b/>
          <w:bCs/>
          <w:sz w:val="22"/>
          <w:szCs w:val="22"/>
        </w:rPr>
        <w:t>.2 Nerespektování podmínek stanovených pro přihlašování výsledků k oborům FORD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Panely použily pouze 1 ze dvou podmínek, které platí současně, a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4739FA">
        <w:rPr>
          <w:rFonts w:ascii="Arial" w:hAnsi="Arial" w:cs="Arial"/>
          <w:bCs/>
          <w:sz w:val="22"/>
          <w:szCs w:val="22"/>
        </w:rPr>
        <w:t>hodnotily takové výsledky kvalitativním stupněm „5“</w:t>
      </w:r>
      <w:r>
        <w:rPr>
          <w:rFonts w:ascii="Arial" w:hAnsi="Arial" w:cs="Arial"/>
          <w:bCs/>
          <w:sz w:val="22"/>
          <w:szCs w:val="22"/>
        </w:rPr>
        <w:t>, který je určen pro výsledky špatné kvality.</w:t>
      </w:r>
    </w:p>
    <w:p w:rsidR="00976BCC" w:rsidRPr="004739FA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4739FA">
        <w:rPr>
          <w:rFonts w:ascii="Arial" w:hAnsi="Arial" w:cs="Arial"/>
          <w:bCs/>
          <w:sz w:val="22"/>
          <w:szCs w:val="22"/>
        </w:rPr>
        <w:t xml:space="preserve">Nutno konstatovat, že </w:t>
      </w:r>
      <w:r>
        <w:rPr>
          <w:rFonts w:ascii="Arial" w:hAnsi="Arial" w:cs="Arial"/>
          <w:bCs/>
          <w:sz w:val="22"/>
          <w:szCs w:val="22"/>
        </w:rPr>
        <w:t xml:space="preserve">odborné panely </w:t>
      </w:r>
      <w:r w:rsidRPr="004739FA">
        <w:rPr>
          <w:rFonts w:ascii="Arial" w:hAnsi="Arial" w:cs="Arial"/>
          <w:bCs/>
          <w:sz w:val="22"/>
          <w:szCs w:val="22"/>
        </w:rPr>
        <w:t>využívaly možnosti, kterou jim dal Postup hodnocení výsledků dle M17+ v roce 2019, který však není v tomto ohledu v souladu s vládou schválenou Metodikou 2017+.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F73AAD">
        <w:rPr>
          <w:rFonts w:ascii="Arial" w:hAnsi="Arial" w:cs="Arial"/>
          <w:b/>
          <w:bCs/>
          <w:sz w:val="22"/>
          <w:szCs w:val="22"/>
        </w:rPr>
        <w:t>.3 Příliš stručná vyjádření oborově příslušných členů panelů</w:t>
      </w:r>
      <w:r w:rsidRPr="00F73AAD">
        <w:rPr>
          <w:rFonts w:ascii="Arial" w:hAnsi="Arial" w:cs="Arial"/>
          <w:bCs/>
          <w:sz w:val="22"/>
          <w:szCs w:val="22"/>
        </w:rPr>
        <w:t>, která neposkytují argumentaci pro zdůvodnění výsledku hodnocení (např. vyjádření „nedosahuje mezinárodních standardů pro tento typ výsledku“ bez dalšího vysvětlení či doporučení je pro zdůvodnění téměř nepoužitelné).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F73AAD">
        <w:rPr>
          <w:rFonts w:ascii="Arial" w:hAnsi="Arial" w:cs="Arial"/>
          <w:b/>
          <w:bCs/>
          <w:sz w:val="22"/>
          <w:szCs w:val="22"/>
        </w:rPr>
        <w:t xml:space="preserve">.4 Podcenění úlohy garanta za </w:t>
      </w:r>
      <w:proofErr w:type="spellStart"/>
      <w:r w:rsidRPr="00F73AAD">
        <w:rPr>
          <w:rFonts w:ascii="Arial" w:hAnsi="Arial" w:cs="Arial"/>
          <w:b/>
          <w:bCs/>
          <w:sz w:val="22"/>
          <w:szCs w:val="22"/>
        </w:rPr>
        <w:t>bibliometrii</w:t>
      </w:r>
      <w:proofErr w:type="spellEnd"/>
      <w:r w:rsidRPr="00F73AAD">
        <w:rPr>
          <w:rFonts w:ascii="Arial" w:hAnsi="Arial" w:cs="Arial"/>
          <w:b/>
          <w:bCs/>
          <w:sz w:val="22"/>
          <w:szCs w:val="22"/>
        </w:rPr>
        <w:t xml:space="preserve"> či spolupráce jiného člena odborného panelu</w:t>
      </w:r>
      <w:r w:rsidRPr="00F73AAD">
        <w:rPr>
          <w:rFonts w:ascii="Arial" w:hAnsi="Arial" w:cs="Arial"/>
          <w:bCs/>
          <w:sz w:val="22"/>
          <w:szCs w:val="22"/>
        </w:rPr>
        <w:t xml:space="preserve"> </w:t>
      </w:r>
      <w:r w:rsidRPr="00F73AAD">
        <w:rPr>
          <w:rFonts w:ascii="Arial" w:hAnsi="Arial" w:cs="Arial"/>
          <w:b/>
          <w:bCs/>
          <w:sz w:val="22"/>
          <w:szCs w:val="22"/>
        </w:rPr>
        <w:t xml:space="preserve">v případech vysokého </w:t>
      </w:r>
      <w:bookmarkStart w:id="0" w:name="_GoBack"/>
      <w:bookmarkEnd w:id="0"/>
      <w:r w:rsidRPr="00F73AAD">
        <w:rPr>
          <w:rFonts w:ascii="Arial" w:hAnsi="Arial" w:cs="Arial"/>
          <w:b/>
          <w:bCs/>
          <w:sz w:val="22"/>
          <w:szCs w:val="22"/>
        </w:rPr>
        <w:t>bodového rozdílu</w:t>
      </w:r>
      <w:r w:rsidRPr="00F73AAD">
        <w:rPr>
          <w:rFonts w:ascii="Arial" w:hAnsi="Arial" w:cs="Arial"/>
          <w:bCs/>
          <w:sz w:val="22"/>
          <w:szCs w:val="22"/>
        </w:rPr>
        <w:t xml:space="preserve">  mezi výrokem hodnotitele a oborově příslušného člena panelu, kdy oborový člen panelu zastupuje chybějícího hodnotitele (např. </w:t>
      </w:r>
      <w:r w:rsidRPr="00F73AAD">
        <w:rPr>
          <w:rFonts w:ascii="Arial" w:hAnsi="Arial" w:cs="Arial"/>
          <w:bCs/>
          <w:sz w:val="22"/>
          <w:szCs w:val="22"/>
        </w:rPr>
        <w:lastRenderedPageBreak/>
        <w:t>hodnotitel stupeň 1, garant stupeň 5, výsledek stupeň 5), což může vyvolat dojem, že oborově příslušný člen panelu nebere ve svém závěrečném návrhu kvalitativního stupně hodnocení dostatečně v úvahu názor hodnotitele,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F73AAD">
        <w:rPr>
          <w:rFonts w:ascii="Arial" w:hAnsi="Arial" w:cs="Arial"/>
          <w:b/>
          <w:bCs/>
          <w:sz w:val="22"/>
          <w:szCs w:val="22"/>
        </w:rPr>
        <w:t>.5 Nevhodné výroky hodnotitelů a oborově příslušných členů panelů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0941B2">
        <w:rPr>
          <w:rFonts w:ascii="Arial" w:hAnsi="Arial" w:cs="Arial"/>
          <w:bCs/>
          <w:sz w:val="22"/>
          <w:szCs w:val="22"/>
          <w:u w:val="single"/>
        </w:rPr>
        <w:t>Zpochybňování „novosti“ u patent</w:t>
      </w:r>
      <w:r>
        <w:rPr>
          <w:rFonts w:ascii="Arial" w:hAnsi="Arial" w:cs="Arial"/>
          <w:bCs/>
          <w:sz w:val="22"/>
          <w:szCs w:val="22"/>
          <w:u w:val="single"/>
        </w:rPr>
        <w:t>ů</w:t>
      </w:r>
      <w:r>
        <w:rPr>
          <w:rFonts w:ascii="Arial" w:hAnsi="Arial" w:cs="Arial"/>
          <w:bCs/>
          <w:sz w:val="22"/>
          <w:szCs w:val="22"/>
        </w:rPr>
        <w:t xml:space="preserve"> patří do skupiny nevhodných výroků hodnotitelů vzhledem k tomu, že udělení patentu se řídí zákonem č. 527/1990 Sb. Pochybnost o novosti není možné řešit prostřednictvím hodnocení, nýbrž podáním podnětu k ÚPV.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0941B2">
        <w:rPr>
          <w:rFonts w:ascii="Arial" w:hAnsi="Arial" w:cs="Arial"/>
          <w:bCs/>
          <w:sz w:val="22"/>
          <w:szCs w:val="22"/>
          <w:u w:val="single"/>
        </w:rPr>
        <w:t>Poukazování na malý význam výsledků v tzv. malých oborech</w:t>
      </w:r>
      <w:r>
        <w:rPr>
          <w:rFonts w:ascii="Arial" w:hAnsi="Arial" w:cs="Arial"/>
          <w:bCs/>
          <w:sz w:val="22"/>
          <w:szCs w:val="22"/>
        </w:rPr>
        <w:t>, např. solidní výsledek v oboru střeliva má malý význam, neboť jde o uplatnění v malém / úzkém oboru.</w:t>
      </w:r>
    </w:p>
    <w:p w:rsidR="00976BCC" w:rsidRPr="00F73AAD" w:rsidRDefault="00976BCC" w:rsidP="00976BCC">
      <w:p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F73AAD">
        <w:rPr>
          <w:rFonts w:ascii="Arial" w:hAnsi="Arial" w:cs="Arial"/>
          <w:b/>
          <w:bCs/>
          <w:sz w:val="22"/>
          <w:szCs w:val="22"/>
        </w:rPr>
        <w:t>.6 Nevyřešený postup u výsledků, které mohou náležet do dvou oborových skupin</w:t>
      </w:r>
      <w:r w:rsidRPr="00F73AAD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0941B2">
        <w:rPr>
          <w:rFonts w:ascii="Arial" w:hAnsi="Arial" w:cs="Arial"/>
          <w:bCs/>
          <w:sz w:val="22"/>
          <w:szCs w:val="22"/>
        </w:rPr>
        <w:t>Neexistuje řešení pro případ, kdy panely odmítají z důvodu oborové nepříslušnosti hodnotit výsledek. Příklad: e-testy pro školení řidičů mohou náležet k panelu 2 i k panelu 6</w:t>
      </w:r>
      <w:r>
        <w:rPr>
          <w:rFonts w:ascii="Arial" w:hAnsi="Arial" w:cs="Arial"/>
          <w:bCs/>
          <w:sz w:val="22"/>
          <w:szCs w:val="22"/>
        </w:rPr>
        <w:t>, neboť do panelu 2 náleží technické vzdělávání, do panelu 6 vzdělávání obecně (obojí lze přijmout i zpochybnit)</w:t>
      </w:r>
      <w:r w:rsidRPr="000941B2">
        <w:rPr>
          <w:rFonts w:ascii="Arial" w:hAnsi="Arial" w:cs="Arial"/>
          <w:bCs/>
          <w:sz w:val="22"/>
          <w:szCs w:val="22"/>
        </w:rPr>
        <w:t>.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Poznámka: nutno vyřešit pro případy multioborových výsledků, kdy příslušnost bude ještě obtížněji stanovitelná.</w:t>
      </w:r>
    </w:p>
    <w:p w:rsidR="00976BCC" w:rsidRPr="000941B2" w:rsidRDefault="00976BCC" w:rsidP="00976BCC">
      <w:pPr>
        <w:pStyle w:val="Nadpis1"/>
        <w:rPr>
          <w:b/>
        </w:rPr>
      </w:pPr>
      <w:r>
        <w:rPr>
          <w:b/>
        </w:rPr>
        <w:t>3</w:t>
      </w:r>
      <w:r>
        <w:rPr>
          <w:b/>
        </w:rPr>
        <w:t xml:space="preserve"> </w:t>
      </w:r>
      <w:r w:rsidRPr="000941B2">
        <w:rPr>
          <w:b/>
        </w:rPr>
        <w:t>Obecné metodické problémy</w:t>
      </w:r>
    </w:p>
    <w:p w:rsidR="00976BCC" w:rsidRPr="00F73AAD" w:rsidRDefault="00976BCC" w:rsidP="00976BCC">
      <w:pPr>
        <w:spacing w:after="120" w:line="264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Pr="00F73AAD">
        <w:rPr>
          <w:rFonts w:ascii="Arial" w:hAnsi="Arial" w:cs="Arial"/>
          <w:b/>
          <w:bCs/>
          <w:sz w:val="22"/>
          <w:szCs w:val="22"/>
        </w:rPr>
        <w:t>.1 Kalibrace hodnocení není dostatečná</w:t>
      </w:r>
      <w:r w:rsidRPr="00F73AAD">
        <w:rPr>
          <w:rFonts w:ascii="Arial" w:hAnsi="Arial" w:cs="Arial"/>
          <w:bCs/>
          <w:sz w:val="22"/>
          <w:szCs w:val="22"/>
        </w:rPr>
        <w:t>, a to jak mezi členy panelu, tak mezi odbornými panely vzájemně.</w:t>
      </w:r>
    </w:p>
    <w:p w:rsidR="00976BCC" w:rsidRPr="00F73AAD" w:rsidRDefault="00976BCC" w:rsidP="00976BCC">
      <w:pPr>
        <w:spacing w:after="120" w:line="264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Pr="00F73AAD">
        <w:rPr>
          <w:rFonts w:ascii="Arial" w:hAnsi="Arial" w:cs="Arial"/>
          <w:b/>
          <w:bCs/>
          <w:sz w:val="22"/>
          <w:szCs w:val="22"/>
        </w:rPr>
        <w:t xml:space="preserve">.2 Diskriminace výzkumných organizací při hodnocení výsledků již jednou hodnocených </w:t>
      </w:r>
      <w:r w:rsidRPr="00F73AAD">
        <w:rPr>
          <w:rFonts w:ascii="Arial" w:hAnsi="Arial" w:cs="Arial"/>
          <w:bCs/>
          <w:sz w:val="22"/>
          <w:szCs w:val="22"/>
        </w:rPr>
        <w:t xml:space="preserve">v případě, že se na vytvoření podílelo více výzkumných organizací. 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57132">
        <w:rPr>
          <w:rFonts w:ascii="Arial" w:hAnsi="Arial" w:cs="Arial"/>
          <w:bCs/>
          <w:sz w:val="22"/>
          <w:szCs w:val="22"/>
          <w:u w:val="single"/>
        </w:rPr>
        <w:t>Pravidlo:</w:t>
      </w:r>
      <w:r>
        <w:rPr>
          <w:rFonts w:ascii="Arial" w:hAnsi="Arial" w:cs="Arial"/>
          <w:bCs/>
          <w:sz w:val="22"/>
          <w:szCs w:val="22"/>
        </w:rPr>
        <w:t xml:space="preserve"> výsledek přihlášený k hodnocení v jednom roce jednou výzkumnou organizací nemůže být přihlášen v dalším roce do hodnocení druhou výzkumnou organizací, která se na jeho vytvoření rovněž podílela.</w:t>
      </w:r>
    </w:p>
    <w:p w:rsidR="00976BCC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A90A3E">
        <w:rPr>
          <w:rFonts w:ascii="Arial" w:hAnsi="Arial" w:cs="Arial"/>
          <w:bCs/>
          <w:sz w:val="22"/>
          <w:szCs w:val="22"/>
          <w:u w:val="single"/>
        </w:rPr>
        <w:t>Rozpor:</w:t>
      </w:r>
      <w:r>
        <w:rPr>
          <w:rFonts w:ascii="Arial" w:hAnsi="Arial" w:cs="Arial"/>
          <w:bCs/>
          <w:sz w:val="22"/>
          <w:szCs w:val="22"/>
        </w:rPr>
        <w:t xml:space="preserve"> pokud by obě výzkumné organizace přihlásily výsledek k hodnocení ve stejném roce, bude zhodnocen pro obě výzkumné organizace.</w:t>
      </w:r>
    </w:p>
    <w:p w:rsidR="00976BCC" w:rsidRPr="00B57132" w:rsidRDefault="00976BCC" w:rsidP="00976BCC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57132">
        <w:rPr>
          <w:rFonts w:ascii="Arial" w:hAnsi="Arial" w:cs="Arial"/>
          <w:bCs/>
          <w:sz w:val="22"/>
          <w:szCs w:val="22"/>
          <w:u w:val="single"/>
        </w:rPr>
        <w:t>Příklady možných řešení</w:t>
      </w:r>
    </w:p>
    <w:p w:rsidR="00976BCC" w:rsidRDefault="00976BCC" w:rsidP="00976BCC">
      <w:pPr>
        <w:pStyle w:val="Odstavecseseznamem"/>
        <w:numPr>
          <w:ilvl w:val="1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Technicky zajistit, aby jednou zhodnocený výsledek již nemohl být do hodnocení přihlášen, což je diskriminace další výzkumné organizace, podílející se na vytvoření výsledku, nebo</w:t>
      </w:r>
    </w:p>
    <w:p w:rsidR="00976BCC" w:rsidRDefault="00976BCC" w:rsidP="00976BCC">
      <w:pPr>
        <w:pStyle w:val="Odstavecseseznamem"/>
        <w:numPr>
          <w:ilvl w:val="1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Převzít výsledek prvního hodnocení vždy, nebo</w:t>
      </w:r>
    </w:p>
    <w:p w:rsidR="00976BCC" w:rsidRPr="000941B2" w:rsidRDefault="00976BCC" w:rsidP="00976BCC">
      <w:pPr>
        <w:pStyle w:val="Odstavecseseznamem"/>
        <w:numPr>
          <w:ilvl w:val="1"/>
          <w:numId w:val="1"/>
        </w:numPr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Převzít výsledek prvního hodnocení pouze v případě, že podruhé je výsledek přihlášen k hodnocení podle stejného kritéria (přínos k poznání, společenská relevance); v případě přihlášení k odlišnému kritériu provést normální hodnocení</w:t>
      </w:r>
    </w:p>
    <w:p w:rsidR="00976BCC" w:rsidRDefault="00976BCC" w:rsidP="00976BCC">
      <w:pPr>
        <w:spacing w:after="120" w:line="264" w:lineRule="auto"/>
        <w:jc w:val="both"/>
      </w:pPr>
    </w:p>
    <w:p w:rsidR="00976BCC" w:rsidRDefault="00976BCC" w:rsidP="00F73AAD">
      <w:pPr>
        <w:pStyle w:val="Nadpis1"/>
        <w:rPr>
          <w:b/>
        </w:rPr>
        <w:sectPr w:rsidR="00976BCC" w:rsidSect="00976BCC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73AAD" w:rsidRPr="00F73AAD" w:rsidRDefault="00976BCC" w:rsidP="00F73AAD">
      <w:pPr>
        <w:pStyle w:val="Nadpis1"/>
        <w:rPr>
          <w:b/>
        </w:rPr>
      </w:pPr>
      <w:r>
        <w:rPr>
          <w:b/>
        </w:rPr>
        <w:lastRenderedPageBreak/>
        <w:t>4</w:t>
      </w:r>
      <w:r w:rsidR="00F73AAD">
        <w:rPr>
          <w:b/>
        </w:rPr>
        <w:t xml:space="preserve"> </w:t>
      </w:r>
      <w:r w:rsidR="00302769" w:rsidRPr="00302769">
        <w:rPr>
          <w:b/>
        </w:rPr>
        <w:t xml:space="preserve">Analýza výsledků a námitek  hodnocení M17+ </w:t>
      </w:r>
      <w:r w:rsidR="00302769">
        <w:rPr>
          <w:b/>
        </w:rPr>
        <w:t>v H19</w:t>
      </w:r>
    </w:p>
    <w:tbl>
      <w:tblPr>
        <w:tblW w:w="120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"/>
        <w:gridCol w:w="1622"/>
        <w:gridCol w:w="515"/>
        <w:gridCol w:w="845"/>
        <w:gridCol w:w="651"/>
        <w:gridCol w:w="651"/>
        <w:gridCol w:w="651"/>
        <w:gridCol w:w="651"/>
        <w:gridCol w:w="651"/>
        <w:gridCol w:w="551"/>
        <w:gridCol w:w="781"/>
        <w:gridCol w:w="801"/>
        <w:gridCol w:w="801"/>
        <w:gridCol w:w="1005"/>
        <w:gridCol w:w="911"/>
        <w:gridCol w:w="1010"/>
      </w:tblGrid>
      <w:tr w:rsidR="00302769" w:rsidRPr="00302769" w:rsidTr="00302769">
        <w:trPr>
          <w:trHeight w:val="240"/>
        </w:trPr>
        <w:tc>
          <w:tcPr>
            <w:tcW w:w="18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Odborný panel</w:t>
            </w:r>
          </w:p>
        </w:tc>
        <w:tc>
          <w:tcPr>
            <w:tcW w:w="136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výsledků</w:t>
            </w:r>
          </w:p>
        </w:tc>
        <w:tc>
          <w:tcPr>
            <w:tcW w:w="3780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Známka</w:t>
            </w:r>
          </w:p>
        </w:tc>
        <w:tc>
          <w:tcPr>
            <w:tcW w:w="5122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námitek</w:t>
            </w:r>
          </w:p>
        </w:tc>
      </w:tr>
      <w:tr w:rsidR="00302769" w:rsidRPr="00302769" w:rsidTr="00302769">
        <w:trPr>
          <w:trHeight w:val="570"/>
        </w:trPr>
        <w:tc>
          <w:tcPr>
            <w:tcW w:w="18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7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 termínu</w:t>
            </w:r>
          </w:p>
        </w:tc>
        <w:tc>
          <w:tcPr>
            <w:tcW w:w="7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8CBAD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 termínu</w:t>
            </w:r>
          </w:p>
        </w:tc>
        <w:tc>
          <w:tcPr>
            <w:tcW w:w="9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Uznáno</w:t>
            </w:r>
          </w:p>
        </w:tc>
        <w:tc>
          <w:tcPr>
            <w:tcW w:w="9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Uznáno částečně</w:t>
            </w: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8CBAD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Zamítnuto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Natural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Sciences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31,8%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22,3%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43,0%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26,3%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6,3%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1,9%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0,4%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 w:val="restart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Engineering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Technology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17,2%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13,5%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30,8%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36,5%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16,4%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9,6%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9,1%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0,9%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5,7%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 w:val="restart"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Medical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Health</w:t>
            </w:r>
            <w:proofErr w:type="spellEnd"/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10,1%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29,5%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31,0%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25,2%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10,1%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3,9%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0,4%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Agricultural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Veterinary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Sciences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7,3%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4,3%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23,5%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53,5%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17,6%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 w:val="restart"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Social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Sciences</w:t>
            </w:r>
            <w:proofErr w:type="spellEnd"/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15,7%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5,5%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18,3%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39,0%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22,8%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14,5%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Humanities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Arts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02769" w:rsidRPr="00302769" w:rsidTr="00302769">
        <w:trPr>
          <w:trHeight w:val="240"/>
        </w:trPr>
        <w:tc>
          <w:tcPr>
            <w:tcW w:w="198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17,8%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4,6%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39,4%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36,1%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13,5%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5,3%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0,7%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0,4%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0,4%</w:t>
            </w:r>
          </w:p>
        </w:tc>
      </w:tr>
      <w:tr w:rsidR="00302769" w:rsidRPr="00302769" w:rsidTr="00302769">
        <w:trPr>
          <w:trHeight w:val="240"/>
        </w:trPr>
        <w:tc>
          <w:tcPr>
            <w:tcW w:w="1820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51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Abs</w:t>
            </w:r>
            <w:proofErr w:type="spellEnd"/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4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2 545</w:t>
            </w:r>
          </w:p>
        </w:tc>
        <w:tc>
          <w:tcPr>
            <w:tcW w:w="6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6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6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832</w:t>
            </w:r>
          </w:p>
        </w:tc>
        <w:tc>
          <w:tcPr>
            <w:tcW w:w="6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6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53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8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87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2CC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302769" w:rsidRPr="00302769" w:rsidTr="00302769">
        <w:trPr>
          <w:trHeight w:val="240"/>
        </w:trPr>
        <w:tc>
          <w:tcPr>
            <w:tcW w:w="1820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12,5%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30,7%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32,7%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16,6%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7,1%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0,4%</w:t>
            </w:r>
          </w:p>
        </w:tc>
        <w:tc>
          <w:tcPr>
            <w:tcW w:w="7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7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9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9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1,2%</w:t>
            </w: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2769">
              <w:rPr>
                <w:rFonts w:ascii="Arial" w:hAnsi="Arial" w:cs="Arial"/>
                <w:color w:val="000000"/>
                <w:sz w:val="14"/>
                <w:szCs w:val="14"/>
              </w:rPr>
              <w:t>A20210221v3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405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Tabulka ukazuje informace o: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Celkový počet hodnocených výsledků.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Celková distribuce výsledků.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Rozsah námitek.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2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Vážnost námitek (počet námitek vůči celku, vztažené k danému panelu).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Zatížení panelu.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Distribuci výsledků panelu.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Počet námitek na panel.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Procentní vyjádření vztažené k počtu výsledků daného panelu (sloupce známka a počet námitek)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  <w:tr w:rsidR="00302769" w:rsidRPr="00302769" w:rsidTr="00302769">
        <w:trPr>
          <w:trHeight w:val="199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2769">
              <w:rPr>
                <w:rFonts w:ascii="Arial" w:hAnsi="Arial" w:cs="Arial"/>
                <w:color w:val="000000"/>
                <w:sz w:val="18"/>
                <w:szCs w:val="18"/>
              </w:rPr>
              <w:t>Procentní vyjádření vztažené k počtu výsledků hodnocených celkem (sloupec počet výsledků)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769" w:rsidRPr="00302769" w:rsidRDefault="00302769" w:rsidP="00302769">
            <w:pPr>
              <w:rPr>
                <w:sz w:val="20"/>
                <w:szCs w:val="20"/>
              </w:rPr>
            </w:pPr>
          </w:p>
        </w:tc>
      </w:tr>
    </w:tbl>
    <w:p w:rsidR="001077BD" w:rsidRDefault="001077BD" w:rsidP="00976BCC">
      <w:pPr>
        <w:pStyle w:val="Nadpis1"/>
      </w:pPr>
    </w:p>
    <w:sectPr w:rsidR="001077BD" w:rsidSect="00976B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208" w:rsidRDefault="00A46208" w:rsidP="00A46208">
      <w:r>
        <w:separator/>
      </w:r>
    </w:p>
  </w:endnote>
  <w:endnote w:type="continuationSeparator" w:id="0">
    <w:p w:rsidR="00A46208" w:rsidRDefault="00A46208" w:rsidP="00A4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208" w:rsidRDefault="00976BCC">
    <w:pPr>
      <w:pStyle w:val="Zpat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Shrnutí 2021-02-25.docx</w:t>
    </w:r>
    <w:r>
      <w:rPr>
        <w:noProof/>
      </w:rPr>
      <w:fldChar w:fldCharType="end"/>
    </w:r>
    <w:r w:rsidR="00A46208">
      <w:tab/>
    </w:r>
    <w:r w:rsidR="00A46208">
      <w:tab/>
    </w:r>
    <w:r w:rsidR="00A46208">
      <w:fldChar w:fldCharType="begin"/>
    </w:r>
    <w:r w:rsidR="00A46208">
      <w:instrText xml:space="preserve"> PAGE   \* MERGEFORMAT </w:instrText>
    </w:r>
    <w:r w:rsidR="00A46208">
      <w:fldChar w:fldCharType="separate"/>
    </w:r>
    <w:r>
      <w:rPr>
        <w:noProof/>
      </w:rPr>
      <w:t>3</w:t>
    </w:r>
    <w:r w:rsidR="00A46208">
      <w:fldChar w:fldCharType="end"/>
    </w:r>
    <w:r w:rsidR="00A46208"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A46208" w:rsidRDefault="00A46208">
    <w:pPr>
      <w:pStyle w:val="Zpat"/>
    </w:pPr>
    <w:r>
      <w:t>JM</w:t>
    </w:r>
    <w:r w:rsidR="00302769">
      <w:t>, LR</w:t>
    </w:r>
    <w:r>
      <w:t xml:space="preserve">; </w:t>
    </w:r>
    <w:r w:rsidR="00976BCC">
      <w:t>25.02.2021 12:44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208" w:rsidRDefault="00A46208" w:rsidP="00A46208">
      <w:r>
        <w:separator/>
      </w:r>
    </w:p>
  </w:footnote>
  <w:footnote w:type="continuationSeparator" w:id="0">
    <w:p w:rsidR="00A46208" w:rsidRDefault="00A46208" w:rsidP="00A46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440"/>
    <w:multiLevelType w:val="hybridMultilevel"/>
    <w:tmpl w:val="5808A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74A4"/>
    <w:multiLevelType w:val="hybridMultilevel"/>
    <w:tmpl w:val="2A96FFB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6A5263"/>
    <w:multiLevelType w:val="hybridMultilevel"/>
    <w:tmpl w:val="CF068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FA"/>
    <w:rsid w:val="000941B2"/>
    <w:rsid w:val="001077BD"/>
    <w:rsid w:val="00302769"/>
    <w:rsid w:val="00344652"/>
    <w:rsid w:val="00387C1E"/>
    <w:rsid w:val="004739FA"/>
    <w:rsid w:val="00976BCC"/>
    <w:rsid w:val="009B1063"/>
    <w:rsid w:val="00A46208"/>
    <w:rsid w:val="00A90A3E"/>
    <w:rsid w:val="00B476E5"/>
    <w:rsid w:val="00B57132"/>
    <w:rsid w:val="00CF4B81"/>
    <w:rsid w:val="00F73AAD"/>
    <w:rsid w:val="00F8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6F76"/>
  <w15:chartTrackingRefBased/>
  <w15:docId w15:val="{45463D56-47C6-4284-BB5C-696563B7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3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739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39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39F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739F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739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739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39FA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6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62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6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620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960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Marek Jan</cp:lastModifiedBy>
  <cp:revision>3</cp:revision>
  <dcterms:created xsi:type="dcterms:W3CDTF">2021-02-25T11:41:00Z</dcterms:created>
  <dcterms:modified xsi:type="dcterms:W3CDTF">2021-02-25T11:44:00Z</dcterms:modified>
</cp:coreProperties>
</file>